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hd w:val="clear" w:color="auto" w:fill="ffffff"/>
        <w:spacing w:after="0" w:lineRule="atLeast" w:line="240"/>
        <w:textAlignment w:val="baseline"/>
        <w:outlineLvl w:val="0"/>
        <w:rPr>
          <w:rFonts w:ascii="Arial" w:cs="Arial" w:eastAsia="Times New Roman" w:hAnsi="Arial"/>
          <w:b/>
          <w:bCs/>
          <w:color w:val="555555"/>
          <w:kern w:val="36"/>
          <w:sz w:val="48"/>
          <w:szCs w:val="48"/>
        </w:rPr>
      </w:pPr>
      <w:r>
        <w:rPr>
          <w:rFonts w:ascii="Arial" w:cs="Arial" w:eastAsia="Times New Roman" w:hAnsi="Arial"/>
          <w:b/>
          <w:bCs/>
          <w:color w:val="555555"/>
          <w:kern w:val="36"/>
          <w:sz w:val="48"/>
          <w:szCs w:val="48"/>
        </w:rPr>
        <w:t>Ten steps to a successful sports facility</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The education sector is a key provider of sports facilities in England. According to Sport England figures, more than a third (39 per cent) of all sports facilities are located on school, college or university properties. For certain types of facilities, schools rule the roost – 77 per cent of all sports halls and 61 per cent of synthetic grass pitches can be found within educational sites.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Many schools and educational institutions make their sports spaces available for the general public. Currently, around two thirds (62 per cent) of school sports facilities in England are being used for some form of community activity.</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 xml:space="preserve">While providing suitable facilities for students is the priority for any project, there are many benefits in creating facilities which can be used by the general public. One of the main benefits is that allowing public access widens the options for applying for National Lottery funding from Sport England. The grassroots sports body provides a number of facility grants. These range from the ‘small grants’ </w:t>
      </w:r>
      <w:r>
        <w:rPr>
          <w:rFonts w:ascii="Arial" w:cs="Arial" w:eastAsia="Times New Roman" w:hAnsi="Arial"/>
          <w:color w:val="555555"/>
          <w:sz w:val="21"/>
          <w:szCs w:val="21"/>
        </w:rPr>
        <w:t>programme</w:t>
      </w:r>
      <w:r>
        <w:rPr>
          <w:rFonts w:ascii="Arial" w:cs="Arial" w:eastAsia="Times New Roman" w:hAnsi="Arial"/>
          <w:color w:val="555555"/>
          <w:sz w:val="21"/>
          <w:szCs w:val="21"/>
        </w:rPr>
        <w:t>, which offers between £300 to £10,000 to projects which get communities more active, to the Strategic Facility Fund, designed to finance large-scale facility projects.  </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With good forward planning, a new sports facility can become a valuable asset, at the heart of the community the school serves. The impact of creating a popular hub – not to mention a revenue generator – should not be underestimated, particularly as many local authorities are facing budgetary challenges in the provision of their public leisure facilities.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For those considering making their future (or existing) facilities to the public, Sport England has developed a handy “Use Our School” tool – an online resource to support schools and their partners in the process of opening their facilities for community use (</w:t>
      </w:r>
      <w:r>
        <w:rPr/>
        <w:fldChar w:fldCharType="begin"/>
      </w:r>
      <w:r>
        <w:instrText xml:space="preserve"> HYPERLINK "http://www.sportengland.org/" </w:instrText>
      </w:r>
      <w:r>
        <w:rPr/>
        <w:fldChar w:fldCharType="separate"/>
      </w:r>
      <w:r>
        <w:rPr>
          <w:rFonts w:ascii="inherit" w:cs="Arial" w:eastAsia="Times New Roman" w:hAnsi="inherit"/>
          <w:b/>
          <w:bCs/>
          <w:color w:val="4a93ba"/>
          <w:sz w:val="21"/>
          <w:szCs w:val="21"/>
          <w:u w:val="single"/>
          <w:bdr w:val="none" w:sz="0" w:space="0" w:color="auto" w:frame="true"/>
        </w:rPr>
        <w:t>www.sportengland.org</w:t>
      </w:r>
      <w:r>
        <w:rPr/>
        <w:fldChar w:fldCharType="end"/>
      </w:r>
      <w:r>
        <w:rPr>
          <w:rFonts w:ascii="Arial" w:cs="Arial" w:eastAsia="Times New Roman" w:hAnsi="Arial"/>
          <w:color w:val="555555"/>
          <w:sz w:val="21"/>
          <w:szCs w:val="21"/>
        </w:rPr>
        <w:t>).</w:t>
      </w:r>
    </w:p>
    <w:p>
      <w:pPr>
        <w:pStyle w:val="style0"/>
        <w:shd w:val="clear" w:color="auto" w:fill="ffffff"/>
        <w:spacing w:after="0" w:lineRule="auto" w:line="240"/>
        <w:textAlignment w:val="baseline"/>
        <w:rPr>
          <w:rFonts w:ascii="Arial" w:cs="Arial" w:eastAsia="Times New Roman" w:hAnsi="Arial"/>
          <w:b/>
          <w:color w:val="555555"/>
          <w:sz w:val="36"/>
          <w:szCs w:val="36"/>
        </w:rPr>
      </w:pPr>
      <w:r>
        <w:rPr>
          <w:rFonts w:ascii="inherit" w:cs="Arial" w:eastAsia="Times New Roman" w:hAnsi="inherit"/>
          <w:b/>
          <w:bCs/>
          <w:color w:val="555555"/>
          <w:sz w:val="36"/>
          <w:szCs w:val="36"/>
          <w:bdr w:val="none" w:sz="0" w:space="0" w:color="auto" w:frame="true"/>
        </w:rPr>
        <w:t>The ten steps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To give a head start on a sports facility project, here is a useful, ten-step guide compiled by Neil McHugh.</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McHugh is chair of the Professional Services Group at the Sports and Play Construction Association (SAPCA) – the UK trade association for the sports facility construction industry. SAPCA represents specialist constructors – as well as suppliers of sports surfaces – and plays an important role in promoting high standards for the developing of sports facilities of all sizes.</w:t>
      </w:r>
    </w:p>
    <w:p>
      <w:pPr>
        <w:pStyle w:val="style0"/>
        <w:shd w:val="clear" w:color="auto" w:fill="ffffff"/>
        <w:spacing w:after="0" w:lineRule="auto" w:line="240"/>
        <w:textAlignment w:val="baseline"/>
        <w:rPr>
          <w:rFonts w:ascii="Arial" w:cs="Arial" w:eastAsia="Times New Roman" w:hAnsi="Arial"/>
          <w:b/>
          <w:color w:val="555555"/>
          <w:sz w:val="21"/>
          <w:szCs w:val="21"/>
        </w:rPr>
      </w:pPr>
      <w:r>
        <w:rPr>
          <w:rFonts w:ascii="inherit" w:cs="Arial" w:eastAsia="Times New Roman" w:hAnsi="inherit"/>
          <w:b/>
          <w:bCs/>
          <w:color w:val="555555"/>
          <w:sz w:val="21"/>
          <w:szCs w:val="21"/>
          <w:bdr w:val="none" w:sz="0" w:space="0" w:color="auto" w:frame="true"/>
        </w:rPr>
        <w:t>1. Use appropriate professional advice</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Consultants can help navigate a project from the start – but it’s important to ensure they have the relevant experience. Do they understand the facility requirements set out by sporting national governing bodies?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 xml:space="preserve">There </w:t>
      </w:r>
      <w:r>
        <w:rPr>
          <w:rFonts w:ascii="Arial" w:cs="Arial" w:eastAsia="Times New Roman" w:hAnsi="Arial"/>
          <w:color w:val="555555"/>
          <w:sz w:val="21"/>
          <w:szCs w:val="21"/>
        </w:rPr>
        <w:t>are</w:t>
      </w:r>
      <w:r>
        <w:rPr>
          <w:rFonts w:ascii="Arial" w:cs="Arial" w:eastAsia="Times New Roman" w:hAnsi="Arial"/>
          <w:color w:val="555555"/>
          <w:sz w:val="21"/>
          <w:szCs w:val="21"/>
        </w:rPr>
        <w:t xml:space="preserve"> also Construction, Design &amp; Management Regulations (CDM) to consider, which have been designed to improve site safety. Depending on the scale and the length of time to build, you might have to notify the Health and Safety Executive and appoint a CDM co-</w:t>
      </w:r>
      <w:r>
        <w:rPr>
          <w:rFonts w:ascii="Arial" w:cs="Arial" w:eastAsia="Times New Roman" w:hAnsi="Arial"/>
          <w:color w:val="555555"/>
          <w:sz w:val="21"/>
          <w:szCs w:val="21"/>
        </w:rPr>
        <w:t>ordinator</w:t>
      </w:r>
      <w:r>
        <w:rPr>
          <w:rFonts w:ascii="Arial" w:cs="Arial" w:eastAsia="Times New Roman" w:hAnsi="Arial"/>
          <w:color w:val="555555"/>
          <w:sz w:val="21"/>
          <w:szCs w:val="21"/>
        </w:rPr>
        <w:t>.</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2. Investigate the site</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The old adage of “if you fail to prepare, prepare to fail” rings true in facility projects. E</w:t>
      </w:r>
      <w:r>
        <w:rPr>
          <w:rFonts w:ascii="Arial" w:cs="Arial" w:eastAsia="Times New Roman" w:hAnsi="Arial"/>
          <w:color w:val="555555"/>
          <w:sz w:val="21"/>
          <w:szCs w:val="21"/>
        </w:rPr>
        <w:br/>
      </w:r>
      <w:r>
        <w:rPr>
          <w:rFonts w:ascii="Arial" w:cs="Arial" w:eastAsia="Times New Roman" w:hAnsi="Arial"/>
          <w:color w:val="555555"/>
          <w:sz w:val="21"/>
          <w:szCs w:val="21"/>
        </w:rPr>
        <w:t>F Knowing everything you need to about the location of your project is paramount in order to avoid nasty surprises.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Depending on the complexity of the project, your site investigation might include any of the following: trial pits and boreholes, soil investigations, percolation tests, a topographical survey and the charting of existing records of services, underground workings and flood risks.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Other issues to consider include whether the location was a tip site, or if there are drainage outlets, environmental restraints or access constraints – especially those relating to disability access.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3. Get the design right</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The wide range of playing surfaces, design solutions and facility infrastructure options – such as fencing, lighting, security and equipment – means that it is now possible to create bespoke facilities down to the smallest of details.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 xml:space="preserve">It is important, however, to make sure the “bigger picture” is clear. What size should the playing surface or facility </w:t>
      </w:r>
      <w:r>
        <w:rPr>
          <w:rFonts w:ascii="Arial" w:cs="Arial" w:eastAsia="Times New Roman" w:hAnsi="Arial"/>
          <w:color w:val="555555"/>
          <w:sz w:val="21"/>
          <w:szCs w:val="21"/>
        </w:rPr>
        <w:t>be</w:t>
      </w:r>
      <w:r>
        <w:rPr>
          <w:rFonts w:ascii="Arial" w:cs="Arial" w:eastAsia="Times New Roman" w:hAnsi="Arial"/>
          <w:color w:val="555555"/>
          <w:sz w:val="21"/>
          <w:szCs w:val="21"/>
        </w:rPr>
        <w:t>? Which sports are to be played at the facility and is there a primary sport? What level of user will the facility target – will it be purely for students or will you look to attract local clubs?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If the facility will be used by the public, what will the usage pattern be and will the facility need to be supervised? What about the level of income expected? How will the maintenance be managed and what is the useful life expectancy?</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The more defined the facility’s requirements are, the easier it will be to navigate the plethora of choices.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4. Tendering</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There are two forms of tendering – traditional procurement and design and build – and a professional advisor can explain the different options available to you. Depending on funding, there may also be a framework procurement route you will have to take in order to get your funding.</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 xml:space="preserve">For all methods, it can be beneficial to study other, similar installations at other schools or colleges, when coming up with a specification for the design, build and performance requirements. Once there is a clear understanding of </w:t>
      </w:r>
      <w:r>
        <w:rPr>
          <w:rFonts w:ascii="Arial" w:cs="Arial" w:eastAsia="Times New Roman" w:hAnsi="Arial"/>
          <w:color w:val="555555"/>
          <w:sz w:val="21"/>
          <w:szCs w:val="21"/>
        </w:rPr>
        <w:t>whom</w:t>
      </w:r>
      <w:r>
        <w:rPr>
          <w:rFonts w:ascii="Arial" w:cs="Arial" w:eastAsia="Times New Roman" w:hAnsi="Arial"/>
          <w:color w:val="555555"/>
          <w:sz w:val="21"/>
          <w:szCs w:val="21"/>
        </w:rPr>
        <w:t xml:space="preserve"> the facility will cater for and what the requirements are, it is important to communicate the requirements to those looking to deliver the project.</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5. Use an appropriate form of contract</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Paperwork is often overlooked in projects. Ensure contracts are simple, but include all the relevant information – this could include contractors’ conditions, performance specification and, where appropriate, testing of the playing surface.</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6. Select the right contractor</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When selecting contractors, it is a good idea to look at other projects the candidates have completed. If possible, speak to their previous clients. There is no harm in doing your homework.  </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Make sure to interview each candidate and ask questions – being comfortable with the people delivering your project will make things easier. It is also important to check the financial stability of candidates in order to avoid projects ending up half-finished.</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 xml:space="preserve">7. Agree a realistic </w:t>
      </w:r>
      <w:r>
        <w:rPr>
          <w:rFonts w:ascii="inherit" w:cs="Arial" w:eastAsia="Times New Roman" w:hAnsi="inherit"/>
          <w:b/>
          <w:bCs/>
          <w:color w:val="555555"/>
          <w:sz w:val="21"/>
          <w:szCs w:val="21"/>
          <w:bdr w:val="none" w:sz="0" w:space="0" w:color="auto" w:frame="true"/>
        </w:rPr>
        <w:t>programme</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Deadlines will help with the management of a project – as long as they are not unrealistic. To avoid putting unnecessary pressure on the project, proper time needs to be dedicated for finding funding, carrying out feasibility studies and planning.</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Most schools will look to undertake major works during holidays, but as nearly all construction projects are weather dependent, the possibility of running into term time needs to be considered.</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 xml:space="preserve">If work is carried out during school times, coordinating the delivery times of materials and equipment can help </w:t>
      </w:r>
      <w:r>
        <w:rPr>
          <w:rFonts w:ascii="Arial" w:cs="Arial" w:eastAsia="Times New Roman" w:hAnsi="Arial"/>
          <w:color w:val="555555"/>
          <w:sz w:val="21"/>
          <w:szCs w:val="21"/>
        </w:rPr>
        <w:t>minimise</w:t>
      </w:r>
      <w:r>
        <w:rPr>
          <w:rFonts w:ascii="Arial" w:cs="Arial" w:eastAsia="Times New Roman" w:hAnsi="Arial"/>
          <w:color w:val="555555"/>
          <w:sz w:val="21"/>
          <w:szCs w:val="21"/>
        </w:rPr>
        <w:t xml:space="preserve"> disruption at busy student pick up and drop off periods.</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Even when building work comes to an end, it doesn’t mean that a facility project is complete. The time needed for handover and snagging – and in large projects, testing – should always be factored into a project plan.</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With the UK climate, it’s important to also remember that installation of certain surfaces is weather-dependent, so build in “slippage” to take account weather delays.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8. Use appropriate supervision</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Keeping tabs on progress will make identifying issues easier and could potentially help prevent small delays becoming major ones. Appoint your own, single point of contact – rather than multiple ones – to help with effective and consistent communication with the contractor. Ensure there is competent project management in place.</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Log everything in writing, so you have an accurate record of the project progress – such as possible variations in contract – and of any agreements or requests. It is also a good idea to keep a photographic record of progress and stages of work.</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Be</w:t>
      </w:r>
      <w:r>
        <w:rPr>
          <w:rFonts w:ascii="Arial" w:cs="Arial" w:eastAsia="Times New Roman" w:hAnsi="Arial"/>
          <w:color w:val="555555"/>
          <w:sz w:val="21"/>
          <w:szCs w:val="21"/>
        </w:rPr>
        <w:t xml:space="preserve"> also mindful that, depending on funding sources, they may require you to submit all the tender documents and reports as part of your award of funding.</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Significant consideration should also be given to site security during the works, in order to protect students. Identifying potential hazards – and highlighting them to students and staff –</w:t>
      </w:r>
      <w:r>
        <w:rPr>
          <w:rFonts w:ascii="Arial" w:cs="Arial" w:eastAsia="Times New Roman" w:hAnsi="Arial"/>
          <w:color w:val="555555"/>
          <w:sz w:val="21"/>
          <w:szCs w:val="21"/>
        </w:rPr>
        <w:t>  will</w:t>
      </w:r>
      <w:r>
        <w:rPr>
          <w:rFonts w:ascii="Arial" w:cs="Arial" w:eastAsia="Times New Roman" w:hAnsi="Arial"/>
          <w:color w:val="555555"/>
          <w:sz w:val="21"/>
          <w:szCs w:val="21"/>
        </w:rPr>
        <w:t xml:space="preserve"> be paramount.</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9. Comply with the conditions of contract</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Conditions of contract are there for the protection of all parties. Keeping up your end of the deal can range from putting instructions into writing to ensuring funding is in place to make payments.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inherit" w:cs="Arial" w:eastAsia="Times New Roman" w:hAnsi="inherit"/>
          <w:b/>
          <w:bCs/>
          <w:color w:val="555555"/>
          <w:sz w:val="21"/>
          <w:szCs w:val="21"/>
          <w:bdr w:val="none" w:sz="0" w:space="0" w:color="auto" w:frame="true"/>
        </w:rPr>
        <w:t>10. Maintain the facility to the required standard</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A successful development project – delivered on time and on budget – doesn’t guarantee a successful facility. To make sure a facility becomes a successful, long-term venue for students – and returns on its investment if in public use – it needs to be maintained properly.</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All contractors will offer guidance on the maintenance requirements, so make sure you buy the appropriate maintenance equipment and that those undertaking the work are familiar with the maintenance requirements.</w:t>
      </w:r>
    </w:p>
    <w:p>
      <w:pPr>
        <w:pStyle w:val="style0"/>
        <w:shd w:val="clear" w:color="auto" w:fill="ffffff"/>
        <w:spacing w:after="0" w:lineRule="auto" w:line="240"/>
        <w:textAlignment w:val="baseline"/>
        <w:rPr>
          <w:rFonts w:ascii="Arial" w:cs="Arial" w:eastAsia="Times New Roman" w:hAnsi="Arial"/>
          <w:color w:val="555555"/>
          <w:sz w:val="21"/>
          <w:szCs w:val="21"/>
        </w:rPr>
      </w:pPr>
      <w:r>
        <w:rPr>
          <w:rFonts w:ascii="Arial" w:cs="Arial" w:eastAsia="Times New Roman" w:hAnsi="Arial"/>
          <w:color w:val="555555"/>
          <w:sz w:val="21"/>
          <w:szCs w:val="21"/>
        </w:rPr>
        <w:t>It is important to also understand the difference between maintenance that can be undertaken by school staff – such as regular cleaning – and when professional help is needed.</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Maintenance guidelines can be linked to warranties and national governing body performance requirements. By keeping up the maintenance and the performance, you reduce risk to students and players while extending the life of the facility.</w:t>
      </w:r>
      <w:r>
        <w:rPr>
          <w:rFonts w:ascii="Arial" w:cs="Arial" w:eastAsia="Times New Roman" w:hAnsi="Arial"/>
          <w:color w:val="555555"/>
          <w:sz w:val="21"/>
          <w:szCs w:val="21"/>
        </w:rPr>
        <w:br/>
      </w:r>
      <w:r>
        <w:rPr>
          <w:rFonts w:ascii="Arial" w:cs="Arial" w:eastAsia="Times New Roman" w:hAnsi="Arial"/>
          <w:color w:val="555555"/>
          <w:sz w:val="21"/>
          <w:szCs w:val="21"/>
        </w:rPr>
        <w:t>    </w:t>
      </w:r>
      <w:r>
        <w:rPr>
          <w:rFonts w:ascii="Arial" w:cs="Arial" w:eastAsia="Times New Roman" w:hAnsi="Arial"/>
          <w:color w:val="555555"/>
          <w:sz w:val="21"/>
          <w:szCs w:val="21"/>
        </w:rPr>
        <w:br/>
      </w:r>
      <w:r>
        <w:rPr>
          <w:rFonts w:ascii="Arial" w:cs="Arial" w:eastAsia="Times New Roman" w:hAnsi="Arial"/>
          <w:color w:val="555555"/>
          <w:sz w:val="21"/>
          <w:szCs w:val="21"/>
        </w:rPr>
        <w:t>While regular maintenance is essential, you can avoid damage – and unnecessary, costly repairs – by advising the users on the “dos and don’ts” at the facility.</w:t>
      </w:r>
    </w:p>
    <w:p>
      <w:pPr>
        <w:pStyle w:val="style0"/>
        <w:shd w:val="clear" w:color="auto" w:fill="ffffff"/>
        <w:spacing w:after="0" w:lineRule="auto" w:line="240"/>
        <w:textAlignment w:val="baseline"/>
        <w:rPr>
          <w:rFonts w:ascii="inherit" w:cs="Arial" w:eastAsia="Times New Roman" w:hAnsi="inherit"/>
          <w:b/>
          <w:bCs/>
          <w:color w:val="555555"/>
          <w:sz w:val="21"/>
          <w:szCs w:val="21"/>
          <w:bdr w:val="none" w:sz="0" w:space="0" w:color="auto" w:frame="true"/>
        </w:rPr>
      </w:pPr>
    </w:p>
    <w:bookmarkStart w:id="0" w:name="_GoBack"/>
    <w:bookmarkEnd w:id="0"/>
    <w:p>
      <w:pPr>
        <w:pStyle w:val="style0"/>
        <w:shd w:val="clear" w:color="auto" w:fill="ffffff"/>
        <w:spacing w:after="0" w:lineRule="auto" w:line="240"/>
        <w:textAlignment w:val="baseline"/>
        <w:rPr>
          <w:rFonts w:ascii="inherit" w:cs="Arial" w:eastAsia="Times New Roman" w:hAnsi="inherit"/>
          <w:b/>
          <w:bCs/>
          <w:color w:val="555555"/>
          <w:sz w:val="21"/>
          <w:szCs w:val="21"/>
          <w:bdr w:val="none" w:sz="0" w:space="0" w:color="auto" w:frame="true"/>
        </w:rPr>
      </w:pPr>
    </w:p>
    <w:sectPr>
      <w:pgSz w:w="12240" w:h="20160" w:orient="portrait"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Tahoma">
    <w:altName w:val="Tahoma"/>
    <w:panose1 w:val="020b0604030005040204"/>
    <w:charset w:val="00"/>
    <w:family w:val="swiss"/>
    <w:pitch w:val="variable"/>
    <w:sig w:usb0="E1002EFF" w:usb1="C000605B" w:usb2="00000029" w:usb3="00000000" w:csb0="000101F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53">
    <w:name w:val="Balloon Text"/>
    <w:basedOn w:val="style0"/>
    <w:next w:val="style153"/>
    <w:link w:val="style4097"/>
    <w:uiPriority w:val="99"/>
    <w:pPr>
      <w:spacing w:after="0" w:lineRule="auto" w:line="240"/>
    </w:pPr>
    <w:rPr>
      <w:rFonts w:ascii="Tahoma" w:cs="Tahoma" w:hAnsi="Tahoma"/>
      <w:sz w:val="16"/>
      <w:szCs w:val="16"/>
    </w:rPr>
  </w:style>
  <w:style w:type="character" w:customStyle="1" w:styleId="style4097">
    <w:name w:val="Balloon Text Char"/>
    <w:basedOn w:val="style65"/>
    <w:next w:val="style4097"/>
    <w:link w:val="style153"/>
    <w:uiPriority w:val="99"/>
    <w:rPr>
      <w:rFonts w:ascii="Tahoma" w:cs="Tahoma" w:hAnsi="Tahoma"/>
      <w:sz w:val="16"/>
      <w:szCs w:val="16"/>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1477</Words>
  <Characters>7853</Characters>
  <Application>WPS Office</Application>
  <DocSecurity>0</DocSecurity>
  <Paragraphs>32</Paragraphs>
  <ScaleCrop>false</ScaleCrop>
  <LinksUpToDate>false</LinksUpToDate>
  <CharactersWithSpaces>9434</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2020-03-30T11:37:23Z</dcterms:created>
  <dc:creator>Saeed computer</dc:creator>
  <lastModifiedBy>A37fw</lastModifiedBy>
  <lastPrinted>2020-03-28T11:26:00Z</lastPrinted>
  <dcterms:modified xsi:type="dcterms:W3CDTF">2020-03-30T11:37:23Z</dcterms:modified>
  <revision>7</revision>
</coreProperties>
</file>